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Facturación electrónica masiva: el gran reto de las empresas de México que buscan eficientar procesos con la nube</w:t>
      </w:r>
    </w:p>
    <w:p w:rsidR="00000000" w:rsidDel="00000000" w:rsidP="00000000" w:rsidRDefault="00000000" w:rsidRPr="00000000" w14:paraId="00000004">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Actualmente, </w:t>
      </w:r>
      <w:r w:rsidDel="00000000" w:rsidR="00000000" w:rsidRPr="00000000">
        <w:rPr>
          <w:rFonts w:ascii="Montserrat" w:cs="Montserrat" w:eastAsia="Montserrat" w:hAnsi="Montserrat"/>
          <w:i w:val="1"/>
          <w:highlight w:val="white"/>
          <w:rtl w:val="0"/>
        </w:rPr>
        <w:t xml:space="preserve">la administración en general y la facturación masiva en particular, se posicionan como uno de los principales desafíos para las grandes compañías del país, que invierten tiempo y recursos en ello.</w:t>
      </w:r>
      <w:r w:rsidDel="00000000" w:rsidR="00000000" w:rsidRPr="00000000">
        <w:rPr>
          <w:rtl w:val="0"/>
        </w:rPr>
      </w:r>
    </w:p>
    <w:p w:rsidR="00000000" w:rsidDel="00000000" w:rsidP="00000000" w:rsidRDefault="00000000" w:rsidRPr="00000000" w14:paraId="00000006">
      <w:pPr>
        <w:numPr>
          <w:ilvl w:val="0"/>
          <w:numId w:val="1"/>
        </w:numPr>
        <w:spacing w:after="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ello, el servicio de CONTPAQi®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T</w:t>
      </w:r>
      <w:r w:rsidDel="00000000" w:rsidR="00000000" w:rsidRPr="00000000">
        <w:rPr>
          <w:rFonts w:ascii="Montserrat" w:cs="Montserrat" w:eastAsia="Montserrat" w:hAnsi="Montserrat"/>
          <w:i w:val="1"/>
          <w:rtl w:val="0"/>
        </w:rPr>
        <w:t xml:space="preserve">imbra arriba al mercado de parte del principal Proveedor Autorizado de Certificación (PAC) ante el SAT, con la integración y automatización como agregados de valor.</w:t>
      </w:r>
    </w:p>
    <w:p w:rsidR="00000000" w:rsidDel="00000000" w:rsidP="00000000" w:rsidRDefault="00000000" w:rsidRPr="00000000" w14:paraId="00000007">
      <w:pPr>
        <w:spacing w:after="0"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Ciudad de México, a 08 de marzo de 2023.-</w:t>
      </w:r>
      <w:r w:rsidDel="00000000" w:rsidR="00000000" w:rsidRPr="00000000">
        <w:rPr>
          <w:rFonts w:ascii="Montserrat" w:cs="Montserrat" w:eastAsia="Montserrat" w:hAnsi="Montserrat"/>
          <w:rtl w:val="0"/>
        </w:rPr>
        <w:t xml:space="preserve"> La facturación electrónica masiva se posiciona como uno de los principales desafíos para las empresas del país ante los cambios constantes en materia fiscal. Esto se vuelve crucial cuando se trata de la generación de millones de CFDI 's, proceso en el que las grandes compañías pierden tiempo valioso, recursos y procesos complejos en la operación con sus clientes.</w:t>
      </w: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hecho, actualmente México ocupa el tercer lugar en complejidad contable en el mundo, el cual toma más de 240 horas de tiempo de una empresa al año, de acuerdo con </w:t>
      </w:r>
      <w:hyperlink r:id="rId6">
        <w:r w:rsidDel="00000000" w:rsidR="00000000" w:rsidRPr="00000000">
          <w:rPr>
            <w:rFonts w:ascii="Montserrat" w:cs="Montserrat" w:eastAsia="Montserrat" w:hAnsi="Montserrat"/>
            <w:color w:val="1155cc"/>
            <w:highlight w:val="white"/>
            <w:u w:val="single"/>
            <w:rtl w:val="0"/>
          </w:rPr>
          <w:t xml:space="preserve">datos</w:t>
        </w:r>
      </w:hyperlink>
      <w:r w:rsidDel="00000000" w:rsidR="00000000" w:rsidRPr="00000000">
        <w:rPr>
          <w:rFonts w:ascii="Montserrat" w:cs="Montserrat" w:eastAsia="Montserrat" w:hAnsi="Montserrat"/>
          <w:highlight w:val="white"/>
          <w:rtl w:val="0"/>
        </w:rPr>
        <w:t xml:space="preserve"> del “</w:t>
      </w:r>
      <w:r w:rsidDel="00000000" w:rsidR="00000000" w:rsidRPr="00000000">
        <w:rPr>
          <w:rFonts w:ascii="Montserrat" w:cs="Montserrat" w:eastAsia="Montserrat" w:hAnsi="Montserrat"/>
          <w:i w:val="1"/>
          <w:highlight w:val="white"/>
          <w:rtl w:val="0"/>
        </w:rPr>
        <w:t xml:space="preserve">Índice Global de Complejidad Corporativa</w:t>
      </w:r>
      <w:r w:rsidDel="00000000" w:rsidR="00000000" w:rsidRPr="00000000">
        <w:rPr>
          <w:rFonts w:ascii="Montserrat" w:cs="Montserrat" w:eastAsia="Montserrat" w:hAnsi="Montserrat"/>
          <w:highlight w:val="white"/>
          <w:rtl w:val="0"/>
        </w:rPr>
        <w:t xml:space="preserve">”, de TMF Group).</w:t>
      </w:r>
    </w:p>
    <w:p w:rsidR="00000000" w:rsidDel="00000000" w:rsidP="00000000" w:rsidRDefault="00000000" w:rsidRPr="00000000" w14:paraId="0000000B">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C">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Para atender esta necesidad, </w:t>
      </w:r>
      <w:r w:rsidDel="00000000" w:rsidR="00000000" w:rsidRPr="00000000">
        <w:rPr>
          <w:rFonts w:ascii="Montserrat" w:cs="Montserrat" w:eastAsia="Montserrat" w:hAnsi="Montserrat"/>
          <w:b w:val="1"/>
          <w:highlight w:val="white"/>
          <w:rtl w:val="0"/>
        </w:rPr>
        <w:t xml:space="preserve">CONTPAQi®</w:t>
      </w:r>
      <w:r w:rsidDel="00000000" w:rsidR="00000000" w:rsidRPr="00000000">
        <w:rPr>
          <w:rFonts w:ascii="Montserrat" w:cs="Montserrat" w:eastAsia="Montserrat" w:hAnsi="Montserrat"/>
          <w:highlight w:val="white"/>
          <w:rtl w:val="0"/>
        </w:rPr>
        <w:t xml:space="preserve">, la plataforma líder en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empresarial y contable, presentó </w:t>
      </w:r>
      <w:r w:rsidDel="00000000" w:rsidR="00000000" w:rsidRPr="00000000">
        <w:rPr>
          <w:rFonts w:ascii="Montserrat" w:cs="Montserrat" w:eastAsia="Montserrat" w:hAnsi="Montserrat"/>
          <w:b w:val="1"/>
          <w:highlight w:val="white"/>
          <w:rtl w:val="0"/>
        </w:rPr>
        <w:t xml:space="preserve">CONTPAQi® Timbra</w:t>
      </w:r>
      <w:r w:rsidDel="00000000" w:rsidR="00000000" w:rsidRPr="00000000">
        <w:rPr>
          <w:rFonts w:ascii="Montserrat" w:cs="Montserrat" w:eastAsia="Montserrat" w:hAnsi="Montserrat"/>
          <w:highlight w:val="white"/>
          <w:rtl w:val="0"/>
        </w:rPr>
        <w:t xml:space="preserve">, un nuevo servicio para el timbrado masivo de </w:t>
      </w:r>
      <w:r w:rsidDel="00000000" w:rsidR="00000000" w:rsidRPr="00000000">
        <w:rPr>
          <w:rFonts w:ascii="Montserrat" w:cs="Montserrat" w:eastAsia="Montserrat" w:hAnsi="Montserrat"/>
          <w:rtl w:val="0"/>
        </w:rPr>
        <w:t xml:space="preserve">facturas electrónicas para</w:t>
      </w:r>
      <w:r w:rsidDel="00000000" w:rsidR="00000000" w:rsidRPr="00000000">
        <w:rPr>
          <w:rFonts w:ascii="Montserrat" w:cs="Montserrat" w:eastAsia="Montserrat" w:hAnsi="Montserrat"/>
          <w:highlight w:val="white"/>
          <w:rtl w:val="0"/>
        </w:rPr>
        <w:t xml:space="preserve"> empresas con altos niveles de facturación y que requieren automatizar este proceso.</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A menudo, las grandes compañías necesitan integrar procesos manuales adicionales para lograr la correcta organización en la facturación electrónica, sobre todo cuando hablamos de grandes volúmenes. Es aquí donde servicios como </w:t>
      </w:r>
      <w:r w:rsidDel="00000000" w:rsidR="00000000" w:rsidRPr="00000000">
        <w:rPr>
          <w:rFonts w:ascii="Montserrat" w:cs="Montserrat" w:eastAsia="Montserrat" w:hAnsi="Montserrat"/>
          <w:i w:val="1"/>
          <w:rtl w:val="0"/>
        </w:rPr>
        <w:t xml:space="preserve">CONTPAQi</w:t>
      </w:r>
      <w:r w:rsidDel="00000000" w:rsidR="00000000" w:rsidRPr="00000000">
        <w:rPr>
          <w:rFonts w:ascii="Montserrat" w:cs="Montserrat" w:eastAsia="Montserrat" w:hAnsi="Montserrat"/>
          <w:i w:val="1"/>
          <w:rtl w:val="0"/>
        </w:rPr>
        <w:t xml:space="preserve">® Timbra se convierten en el aliado tecnológico ideal para esta tarea crítica, de la mano de un Proveedor Autorizado de Certificación (PAC), el cual juega un papel clave para los grandes negocios”</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highlight w:val="white"/>
          <w:rtl w:val="0"/>
        </w:rPr>
        <w:t xml:space="preserve">René Martín Torres Fragoso, presidente y director general </w:t>
      </w:r>
      <w:r w:rsidDel="00000000" w:rsidR="00000000" w:rsidRPr="00000000">
        <w:rPr>
          <w:rFonts w:ascii="Montserrat" w:cs="Montserrat" w:eastAsia="Montserrat" w:hAnsi="Montserrat"/>
          <w:b w:val="1"/>
          <w:rtl w:val="0"/>
        </w:rPr>
        <w:t xml:space="preserve">de CONTPAQi®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Básicamente, timbrar una factura es </w:t>
      </w:r>
      <w:r w:rsidDel="00000000" w:rsidR="00000000" w:rsidRPr="00000000">
        <w:rPr>
          <w:rFonts w:ascii="Montserrat" w:cs="Montserrat" w:eastAsia="Montserrat" w:hAnsi="Montserrat"/>
          <w:rtl w:val="0"/>
        </w:rPr>
        <w:t xml:space="preserve">certificarla</w:t>
      </w:r>
      <w:r w:rsidDel="00000000" w:rsidR="00000000" w:rsidRPr="00000000">
        <w:rPr>
          <w:rFonts w:ascii="Montserrat" w:cs="Montserrat" w:eastAsia="Montserrat" w:hAnsi="Montserrat"/>
          <w:rtl w:val="0"/>
        </w:rPr>
        <w:t xml:space="preserve">, darle validez oficial mediante un timbre fiscal digital. Y esto sólo puede hacerlo un PAC, esa empresa (persona moral) que cuenta con la autorización del Servicio de Administración Tributaria (SAT) para tales actividades. En el caso de CONTPAQi®, se trata del PAC número 1 del mercado, con más de 1.3 millones de emisores que actualmente usan sus servicios de facturación, de acuerdo con datos oficiales.</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Así, a través de CONTPAQi® Timbra, las grandes empresas pueden eficientar su proceso de facturación mediante un PAC autorizado, que a través de la automatización y desde la nube, reducirá los riesgos por errores en la captura de información, disminuyendo los costos operativos, eliminando procesos manuales y ahorrando recursos, que bien se pueden destinar al crecimiento.</w:t>
      </w:r>
    </w:p>
    <w:p w:rsidR="00000000" w:rsidDel="00000000" w:rsidP="00000000" w:rsidRDefault="00000000" w:rsidRPr="00000000" w14:paraId="00000013">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Sin duda, con CONTPAQi® Timbra, las compañías del país pueden impulsar sus modelos de negocio de mejor manera, ya que mediante la integración y la automatización, el proceso de timbrado masivo de facturas electrónicas se hace más sencillo, con lo cual pueden destinar recursos valiosos a otras actividades estratégicas que cubran las nuevas necesidades a las que se enfrenta un negocio mientras crece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concluye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René Martín Torres Fragoso</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5">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7">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after="20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7">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satisfacer las necesidades de cada empresa, sin importar su etapa de madurez, ofrece más de 15 soluciones a más de un millón de usuarios en México, mismas que son escalables y adaptables a micro, pequeñas y medianas empresas en todo el país (MiPyMEs). CONTPAQi® tiene oficinas en 12 de las ciudades más importantes: Tijuana, Chihuahua, Hermosillo, Monterrey, Culiacán, Guadalajara, León, Puebla, Ciudad de México; Morelia, Veracruz, y Mérida. Es Proveedor Autorizado de Certificación (PAC) con la mayor participación de mercado donde más de un millón empresas utilizan sus servicios. Además, aprueban satisfactoriamente auditorías del Servicio de Administración Tributaria (SAT) en cuanto disponibilidad de servicio, seguridad de la información y soporte técnico. Para más información visita: </w:t>
      </w:r>
      <w:hyperlink r:id="rId8">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9">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0">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1">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2">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3">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4">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tl w:val="0"/>
        </w:rPr>
      </w:r>
    </w:p>
    <w:p w:rsidR="00000000" w:rsidDel="00000000" w:rsidP="00000000" w:rsidRDefault="00000000" w:rsidRPr="00000000" w14:paraId="00000023">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4">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5">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w:t>
      </w:r>
    </w:p>
    <w:p w:rsidR="00000000" w:rsidDel="00000000" w:rsidP="00000000" w:rsidRDefault="00000000" w:rsidRPr="00000000" w14:paraId="00000026">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Elena Aranda | Sr. PR Expert</w:t>
      </w:r>
    </w:p>
    <w:p w:rsidR="00000000" w:rsidDel="00000000" w:rsidP="00000000" w:rsidRDefault="00000000" w:rsidRPr="00000000" w14:paraId="00000027">
      <w:pPr>
        <w:keepLines w:val="1"/>
        <w:widowControl w:val="0"/>
        <w:spacing w:after="20" w:before="20" w:line="240" w:lineRule="auto"/>
        <w:jc w:val="both"/>
        <w:rPr>
          <w:rFonts w:ascii="Montserrat" w:cs="Montserrat" w:eastAsia="Montserrat" w:hAnsi="Montserrat"/>
          <w:sz w:val="20"/>
          <w:szCs w:val="20"/>
        </w:rPr>
      </w:pPr>
      <w:hyperlink r:id="rId15">
        <w:r w:rsidDel="00000000" w:rsidR="00000000" w:rsidRPr="00000000">
          <w:rPr>
            <w:rFonts w:ascii="Montserrat" w:cs="Montserrat" w:eastAsia="Montserrat" w:hAnsi="Montserrat"/>
            <w:color w:val="1155cc"/>
            <w:sz w:val="20"/>
            <w:szCs w:val="20"/>
            <w:u w:val="single"/>
            <w:rtl w:val="0"/>
          </w:rPr>
          <w:t xml:space="preserve">elena.aranda@another.co</w:t>
        </w:r>
      </w:hyperlink>
      <w:r w:rsidDel="00000000" w:rsidR="00000000" w:rsidRPr="00000000">
        <w:rPr>
          <w:rtl w:val="0"/>
        </w:rPr>
      </w:r>
    </w:p>
    <w:p w:rsidR="00000000" w:rsidDel="00000000" w:rsidP="00000000" w:rsidRDefault="00000000" w:rsidRPr="00000000" w14:paraId="00000028">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7903 4323</w:t>
      </w:r>
    </w:p>
    <w:p w:rsidR="00000000" w:rsidDel="00000000" w:rsidP="00000000" w:rsidRDefault="00000000" w:rsidRPr="00000000" w14:paraId="00000029">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Paola Muñoz | PR Expert</w:t>
      </w:r>
    </w:p>
    <w:p w:rsidR="00000000" w:rsidDel="00000000" w:rsidP="00000000" w:rsidRDefault="00000000" w:rsidRPr="00000000" w14:paraId="0000002B">
      <w:pPr>
        <w:keepLines w:val="1"/>
        <w:widowControl w:val="0"/>
        <w:spacing w:after="20" w:before="20" w:line="240" w:lineRule="auto"/>
        <w:jc w:val="both"/>
        <w:rPr>
          <w:rFonts w:ascii="Montserrat" w:cs="Montserrat" w:eastAsia="Montserrat" w:hAnsi="Montserrat"/>
          <w:sz w:val="20"/>
          <w:szCs w:val="20"/>
        </w:rPr>
      </w:pPr>
      <w:hyperlink r:id="rId16">
        <w:r w:rsidDel="00000000" w:rsidR="00000000" w:rsidRPr="00000000">
          <w:rPr>
            <w:rFonts w:ascii="Montserrat" w:cs="Montserrat" w:eastAsia="Montserrat" w:hAnsi="Montserrat"/>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2C">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6376 6677</w:t>
      </w:r>
    </w:p>
    <w:p w:rsidR="00000000" w:rsidDel="00000000" w:rsidP="00000000" w:rsidRDefault="00000000" w:rsidRPr="00000000" w14:paraId="0000002D">
      <w:pPr>
        <w:spacing w:line="276" w:lineRule="auto"/>
        <w:rPr>
          <w:rFonts w:ascii="Montserrat" w:cs="Montserrat" w:eastAsia="Montserrat" w:hAnsi="Montserrat"/>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ontpaqi1" TargetMode="External"/><Relationship Id="rId10" Type="http://schemas.openxmlformats.org/officeDocument/2006/relationships/hyperlink" Target="https://twitter.com/CONTPAQi" TargetMode="External"/><Relationship Id="rId13" Type="http://schemas.openxmlformats.org/officeDocument/2006/relationships/hyperlink" Target="https://www.instagram.com/contpaqimx/" TargetMode="External"/><Relationship Id="rId12" Type="http://schemas.openxmlformats.org/officeDocument/2006/relationships/hyperlink" Target="https://www.linkedin.com/company/contpaqi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NTPAQi" TargetMode="External"/><Relationship Id="rId15" Type="http://schemas.openxmlformats.org/officeDocument/2006/relationships/hyperlink" Target="mailto:elena.aranda@another.co" TargetMode="External"/><Relationship Id="rId14" Type="http://schemas.openxmlformats.org/officeDocument/2006/relationships/hyperlink" Target="https://www.tiktok.com/@contpaqi" TargetMode="External"/><Relationship Id="rId17" Type="http://schemas.openxmlformats.org/officeDocument/2006/relationships/header" Target="header1.xml"/><Relationship Id="rId16" Type="http://schemas.openxmlformats.org/officeDocument/2006/relationships/hyperlink" Target="mailto:paola.munoz@another.co" TargetMode="External"/><Relationship Id="rId5" Type="http://schemas.openxmlformats.org/officeDocument/2006/relationships/styles" Target="styles.xml"/><Relationship Id="rId6" Type="http://schemas.openxmlformats.org/officeDocument/2006/relationships/hyperlink" Target="https://www.tmf-group.com/es-co/news-insights/articles/top-challenges/doing-business-in-mexico/" TargetMode="External"/><Relationship Id="rId7" Type="http://schemas.openxmlformats.org/officeDocument/2006/relationships/hyperlink" Target="https://www.contpaqi.com/" TargetMode="External"/><Relationship Id="rId8" Type="http://schemas.openxmlformats.org/officeDocument/2006/relationships/hyperlink" Target="https://www.contpaq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